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54753">
      <w:pPr>
        <w:pStyle w:val="129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#156</w:t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S5‑245168</w:t>
      </w:r>
    </w:p>
    <w:p w14:paraId="35D75603">
      <w:pPr>
        <w:pStyle w:val="62"/>
        <w:rPr>
          <w:rFonts w:eastAsia="宋体"/>
          <w:sz w:val="22"/>
          <w:szCs w:val="22"/>
          <w:lang w:val="en-US" w:eastAsia="zh-CN"/>
        </w:rPr>
      </w:pPr>
      <w:r>
        <w:rPr>
          <w:sz w:val="24"/>
        </w:rPr>
        <w:t>Maastricht, Netherlands, 19 - 23 August 2024</w:t>
      </w:r>
      <w:r>
        <w:rPr>
          <w:rFonts w:hint="eastAsia" w:eastAsia="宋体"/>
          <w:sz w:val="24"/>
          <w:lang w:val="en-US" w:eastAsia="zh-CN"/>
        </w:rPr>
        <w:t xml:space="preserve">              </w:t>
      </w:r>
      <w:r>
        <w:rPr>
          <w:rFonts w:hint="eastAsia" w:eastAsia="宋体"/>
          <w:b w:val="0"/>
          <w:bCs/>
          <w:i/>
          <w:iCs/>
          <w:sz w:val="24"/>
          <w:lang w:val="en-US" w:eastAsia="zh-CN"/>
        </w:rPr>
        <w:t>revision of S5-244853,S5-243772</w:t>
      </w:r>
    </w:p>
    <w:p w14:paraId="792DC057">
      <w:pPr>
        <w:pStyle w:val="62"/>
        <w:tabs>
          <w:tab w:val="right" w:pos="9498"/>
        </w:tabs>
        <w:rPr>
          <w:rFonts w:cs="Arial"/>
          <w:b w:val="0"/>
          <w:sz w:val="24"/>
        </w:rPr>
      </w:pPr>
    </w:p>
    <w:p w14:paraId="78920BC9">
      <w:pPr>
        <w:pStyle w:val="62"/>
        <w:tabs>
          <w:tab w:val="right" w:pos="9498"/>
        </w:tabs>
        <w:rPr>
          <w:rFonts w:cs="Arial"/>
          <w:bCs/>
          <w:color w:val="auto"/>
          <w:sz w:val="22"/>
        </w:rPr>
      </w:pPr>
      <w:r>
        <w:rPr>
          <w:rFonts w:cs="Arial"/>
          <w:bCs/>
          <w:sz w:val="22"/>
        </w:rPr>
        <w:t>3GPP TSG-SA Meeting #</w:t>
      </w:r>
      <w:r>
        <w:rPr>
          <w:rFonts w:hint="eastAsia" w:eastAsia="宋体" w:cs="Arial"/>
          <w:bCs/>
          <w:sz w:val="22"/>
          <w:lang w:val="en-US" w:eastAsia="zh-CN"/>
        </w:rPr>
        <w:t>105</w:t>
      </w:r>
      <w:r>
        <w:rPr>
          <w:rFonts w:cs="Arial"/>
          <w:bCs/>
          <w:sz w:val="22"/>
        </w:rPr>
        <w:tab/>
      </w:r>
      <w:r>
        <w:rPr>
          <w:rFonts w:cs="Arial"/>
          <w:bCs/>
          <w:color w:val="auto"/>
          <w:sz w:val="22"/>
        </w:rPr>
        <w:t>Tdoc &lt;DocNumber&gt;</w:t>
      </w:r>
    </w:p>
    <w:p w14:paraId="0E228D6C">
      <w:pPr>
        <w:pStyle w:val="62"/>
        <w:tabs>
          <w:tab w:val="right" w:pos="9639"/>
        </w:tabs>
        <w:rPr>
          <w:rFonts w:eastAsia="宋体" w:cs="Arial"/>
          <w:bCs/>
          <w:color w:val="2F5496"/>
          <w:sz w:val="22"/>
          <w:lang w:eastAsia="zh-CN"/>
        </w:rPr>
      </w:pPr>
      <w:r>
        <w:rPr>
          <w:rFonts w:hint="eastAsia" w:cs="Arial"/>
          <w:bCs/>
          <w:sz w:val="22"/>
        </w:rPr>
        <w:t xml:space="preserve">Melbourne, </w:t>
      </w:r>
      <w:r>
        <w:rPr>
          <w:rFonts w:hint="eastAsia" w:eastAsia="宋体" w:cs="Arial"/>
          <w:bCs/>
          <w:sz w:val="22"/>
          <w:lang w:val="en-US" w:eastAsia="zh-CN"/>
        </w:rPr>
        <w:t>Australia</w:t>
      </w:r>
      <w:r>
        <w:rPr>
          <w:rFonts w:cs="Arial"/>
          <w:bCs/>
          <w:sz w:val="22"/>
        </w:rPr>
        <w:t xml:space="preserve">, </w:t>
      </w:r>
      <w:r>
        <w:rPr>
          <w:rFonts w:hint="eastAsia" w:eastAsia="宋体" w:cs="Arial"/>
          <w:bCs/>
          <w:sz w:val="22"/>
          <w:lang w:val="en-US" w:eastAsia="zh-CN"/>
        </w:rPr>
        <w:t>10 - 13 September 2024</w:t>
      </w:r>
    </w:p>
    <w:p w14:paraId="09C3F46A">
      <w:pPr>
        <w:pStyle w:val="62"/>
        <w:tabs>
          <w:tab w:val="right" w:pos="9639"/>
        </w:tabs>
        <w:rPr>
          <w:rFonts w:eastAsia="宋体" w:cs="Arial"/>
          <w:bCs/>
          <w:color w:val="2F5496"/>
          <w:sz w:val="22"/>
          <w:lang w:eastAsia="zh-CN"/>
        </w:rPr>
      </w:pPr>
    </w:p>
    <w:p w14:paraId="3406CA9D">
      <w:pPr>
        <w:pStyle w:val="62"/>
        <w:tabs>
          <w:tab w:val="right" w:pos="9639"/>
        </w:tabs>
        <w:rPr>
          <w:rFonts w:eastAsia="宋体" w:cs="Arial"/>
          <w:bCs/>
          <w:color w:val="4472C4"/>
          <w:sz w:val="22"/>
          <w:lang w:eastAsia="zh-CN"/>
        </w:rPr>
      </w:pPr>
    </w:p>
    <w:p w14:paraId="074F7971">
      <w:pPr>
        <w:spacing w:after="60"/>
        <w:ind w:left="1985" w:hanging="1985"/>
        <w:rPr>
          <w:rFonts w:ascii="Arial" w:hAnsi="Arial" w:eastAsia="宋体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</w:p>
    <w:p w14:paraId="3D222D8E">
      <w:pPr>
        <w:spacing w:after="60"/>
        <w:ind w:left="1985"/>
        <w:rPr>
          <w:rFonts w:ascii="Arial" w:hAnsi="Arial" w:eastAsia="宋体" w:cs="Arial"/>
          <w:b/>
          <w:color w:val="auto"/>
          <w:lang w:eastAsia="zh-CN"/>
        </w:rPr>
      </w:pPr>
      <w:r>
        <w:rPr>
          <w:rFonts w:ascii="Arial" w:hAnsi="Arial" w:cs="Arial"/>
          <w:b/>
          <w:color w:val="auto"/>
        </w:rPr>
        <w:t>TR</w:t>
      </w:r>
      <w:r>
        <w:rPr>
          <w:rFonts w:ascii="Arial" w:hAnsi="Arial" w:cs="Arial"/>
          <w:b/>
          <w:color w:val="auto"/>
        </w:rPr>
        <w:t xml:space="preserve"> 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28</w:t>
      </w:r>
      <w:r>
        <w:rPr>
          <w:rFonts w:ascii="Arial" w:hAnsi="Arial" w:cs="Arial"/>
          <w:b/>
          <w:color w:val="auto"/>
        </w:rPr>
        <w:t>.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877</w:t>
      </w:r>
      <w:r>
        <w:rPr>
          <w:rFonts w:ascii="Arial" w:hAnsi="Arial" w:cs="Arial"/>
          <w:b/>
          <w:color w:val="auto"/>
        </w:rPr>
        <w:t xml:space="preserve">, Version 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0</w:t>
      </w:r>
      <w:r>
        <w:rPr>
          <w:rFonts w:ascii="Arial" w:hAnsi="Arial" w:cs="Arial"/>
          <w:b/>
          <w:color w:val="auto"/>
        </w:rPr>
        <w:t>.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3</w:t>
      </w:r>
      <w:r>
        <w:rPr>
          <w:rFonts w:ascii="Arial" w:hAnsi="Arial" w:cs="Arial"/>
          <w:b/>
          <w:color w:val="auto"/>
        </w:rPr>
        <w:t>.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0</w:t>
      </w:r>
    </w:p>
    <w:p w14:paraId="411F7F9A">
      <w:pPr>
        <w:spacing w:after="60"/>
        <w:ind w:left="1985" w:hanging="1985"/>
        <w:rPr>
          <w:rFonts w:ascii="Arial" w:hAnsi="Arial" w:eastAsia="宋体" w:cs="Arial"/>
          <w:b/>
          <w:color w:val="0000FF"/>
          <w:lang w:eastAsia="zh-CN"/>
        </w:rPr>
      </w:pPr>
    </w:p>
    <w:p w14:paraId="200029CC">
      <w:pPr>
        <w:spacing w:after="60"/>
        <w:ind w:left="1985" w:hanging="1985"/>
        <w:rPr>
          <w:rFonts w:ascii="Arial" w:hAnsi="Arial" w:eastAsia="宋体" w:cs="Arial"/>
          <w:b/>
          <w:color w:val="2F5496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SA</w:t>
      </w:r>
      <w:r>
        <w:rPr>
          <w:rFonts w:ascii="Arial" w:hAnsi="Arial" w:eastAsia="宋体" w:cs="Arial"/>
          <w:b/>
          <w:lang w:val="en-US" w:eastAsia="zh-CN"/>
        </w:rPr>
        <w:t xml:space="preserve"> WG</w:t>
      </w:r>
      <w:r>
        <w:rPr>
          <w:rFonts w:hint="eastAsia" w:ascii="Arial" w:hAnsi="Arial" w:eastAsia="宋体" w:cs="Arial"/>
          <w:b/>
          <w:lang w:val="en-US" w:eastAsia="zh-CN"/>
        </w:rPr>
        <w:t>5</w:t>
      </w:r>
    </w:p>
    <w:p w14:paraId="450654A5">
      <w:pPr>
        <w:spacing w:after="60"/>
        <w:ind w:left="1985" w:hanging="1985"/>
        <w:rPr>
          <w:rFonts w:ascii="Arial" w:hAnsi="Arial" w:eastAsia="宋体" w:cs="Arial"/>
          <w:b/>
          <w:color w:val="2F5496"/>
          <w:lang w:eastAsia="zh-CN"/>
        </w:rPr>
      </w:pPr>
    </w:p>
    <w:p w14:paraId="53A3B6F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Information</w:t>
      </w:r>
      <w:r>
        <w:rPr>
          <w:rFonts w:hint="eastAsia" w:ascii="Arial" w:hAnsi="Arial" w:eastAsia="宋体" w:cs="Arial"/>
          <w:b/>
          <w:lang w:val="en-US" w:eastAsia="zh-CN"/>
        </w:rPr>
        <w:t xml:space="preserve"> and </w:t>
      </w:r>
      <w:r>
        <w:rPr>
          <w:rFonts w:ascii="Arial" w:hAnsi="Arial" w:cs="Arial"/>
          <w:b/>
        </w:rPr>
        <w:t>Approval</w:t>
      </w:r>
    </w:p>
    <w:p w14:paraId="1B5608F1">
      <w:pPr>
        <w:spacing w:after="60"/>
        <w:ind w:left="1985" w:hanging="1985"/>
        <w:rPr>
          <w:rFonts w:ascii="Arial" w:hAnsi="Arial" w:cs="Arial"/>
          <w:bCs/>
        </w:rPr>
      </w:pPr>
    </w:p>
    <w:p w14:paraId="0D722267">
      <w:pPr>
        <w:tabs>
          <w:tab w:val="left" w:pos="3119"/>
        </w:tabs>
        <w:rPr>
          <w:b/>
          <w:sz w:val="24"/>
        </w:rPr>
      </w:pPr>
    </w:p>
    <w:p w14:paraId="57A84B21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7E55EC9">
      <w:pPr>
        <w:tabs>
          <w:tab w:val="left" w:pos="3119"/>
        </w:tabs>
        <w:rPr>
          <w:color w:val="0000FF"/>
          <w:sz w:val="24"/>
        </w:rPr>
      </w:pPr>
      <w:r>
        <w:rPr>
          <w:rFonts w:hint="eastAsia" w:eastAsia="宋体"/>
          <w:sz w:val="24"/>
          <w:lang w:val="en-US" w:eastAsia="zh-CN"/>
        </w:rPr>
        <w:t xml:space="preserve">The </w:t>
      </w:r>
      <w:r>
        <w:rPr>
          <w:rFonts w:hint="eastAsia"/>
          <w:sz w:val="24"/>
        </w:rPr>
        <w:t>Study on Enhancement of Management Aspects related to NWDAF Phase 2</w:t>
      </w:r>
      <w:r>
        <w:rPr>
          <w:sz w:val="24"/>
        </w:rPr>
        <w:t xml:space="preserve"> in TR 28.8</w:t>
      </w:r>
      <w:r>
        <w:rPr>
          <w:rFonts w:hint="eastAsia" w:eastAsia="宋体"/>
          <w:sz w:val="24"/>
          <w:lang w:val="en-US" w:eastAsia="zh-CN"/>
        </w:rPr>
        <w:t>77</w:t>
      </w:r>
      <w:r>
        <w:rPr>
          <w:sz w:val="24"/>
        </w:rPr>
        <w:t xml:space="preserve"> </w:t>
      </w:r>
      <w:r>
        <w:rPr>
          <w:rFonts w:hint="eastAsia" w:eastAsia="宋体"/>
          <w:sz w:val="24"/>
          <w:highlight w:val="none"/>
          <w:lang w:val="en-US" w:eastAsia="zh-CN"/>
        </w:rPr>
        <w:t>focuses</w:t>
      </w:r>
      <w:bookmarkStart w:id="2" w:name="_GoBack"/>
      <w:bookmarkEnd w:id="2"/>
      <w:r>
        <w:rPr>
          <w:rFonts w:hint="eastAsia" w:eastAsia="宋体"/>
          <w:sz w:val="24"/>
          <w:highlight w:val="none"/>
          <w:lang w:val="en-US" w:eastAsia="zh-CN"/>
        </w:rPr>
        <w:t xml:space="preserve"> on the management enhancement supporting NWDAF Roaming Exchange Capability in a roaming scenario and the management enhancement related to the NWDAF data collection efficiency. 3 use cases and 10 corresponding</w:t>
      </w:r>
      <w:r>
        <w:rPr>
          <w:rFonts w:hint="default" w:eastAsia="宋体"/>
          <w:sz w:val="24"/>
          <w:highlight w:val="none"/>
          <w:lang w:val="en-US" w:eastAsia="zh-CN"/>
        </w:rPr>
        <w:t xml:space="preserve"> </w:t>
      </w:r>
      <w:r>
        <w:rPr>
          <w:rFonts w:hint="eastAsia" w:eastAsia="宋体"/>
          <w:sz w:val="24"/>
          <w:highlight w:val="none"/>
          <w:lang w:val="en-US" w:eastAsia="zh-CN"/>
        </w:rPr>
        <w:t xml:space="preserve">potential requirements are investigated. And for each of the potential requirements, at least one potential solution is proposed to satisfy it. There are </w:t>
      </w:r>
      <w:r>
        <w:rPr>
          <w:rFonts w:hint="default" w:eastAsia="宋体"/>
          <w:sz w:val="24"/>
          <w:highlight w:val="none"/>
          <w:lang w:val="en-US" w:eastAsia="zh-CN"/>
        </w:rPr>
        <w:t>in total 16 potent</w:t>
      </w:r>
      <w:r>
        <w:rPr>
          <w:rFonts w:hint="eastAsia" w:eastAsia="宋体"/>
          <w:sz w:val="24"/>
          <w:highlight w:val="none"/>
          <w:lang w:val="en-US" w:eastAsia="zh-CN"/>
        </w:rPr>
        <w:t>ia</w:t>
      </w:r>
      <w:r>
        <w:rPr>
          <w:rFonts w:hint="default" w:eastAsia="宋体"/>
          <w:sz w:val="24"/>
          <w:highlight w:val="none"/>
          <w:lang w:val="en-US" w:eastAsia="zh-CN"/>
        </w:rPr>
        <w:t>l solutions are proposed to move to the normative phase</w:t>
      </w:r>
      <w:r>
        <w:rPr>
          <w:rFonts w:hint="eastAsia" w:eastAsia="宋体"/>
          <w:sz w:val="24"/>
          <w:highlight w:val="none"/>
          <w:lang w:val="en-US" w:eastAsia="zh-CN"/>
        </w:rPr>
        <w:t>.</w:t>
      </w:r>
    </w:p>
    <w:p w14:paraId="55514239">
      <w:pPr>
        <w:tabs>
          <w:tab w:val="left" w:pos="3119"/>
        </w:tabs>
        <w:rPr>
          <w:color w:val="0000FF"/>
          <w:sz w:val="24"/>
        </w:rPr>
      </w:pPr>
    </w:p>
    <w:p w14:paraId="597A7EB6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 w:eastAsia="宋体"/>
          <w:b/>
          <w:sz w:val="24"/>
          <w:lang w:val="en-US" w:eastAsia="zh-CN"/>
        </w:rPr>
        <w:t>TSG SA</w:t>
      </w:r>
      <w:r>
        <w:rPr>
          <w:b/>
          <w:sz w:val="24"/>
        </w:rPr>
        <w:t xml:space="preserve"> #</w:t>
      </w:r>
      <w:r>
        <w:rPr>
          <w:rFonts w:hint="eastAsia" w:eastAsia="宋体"/>
          <w:b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 w14:paraId="4EA31CDB">
      <w:pPr>
        <w:tabs>
          <w:tab w:val="left" w:pos="3119"/>
        </w:tabs>
        <w:rPr>
          <w:rFonts w:eastAsia="宋体"/>
          <w:color w:val="0000FF"/>
          <w:sz w:val="24"/>
          <w:lang w:val="en-US" w:eastAsia="zh-CN"/>
        </w:rPr>
      </w:pPr>
      <w:bookmarkStart w:id="0" w:name="_Hlk175736122"/>
      <w:bookmarkStart w:id="1" w:name="_Hlk175736550"/>
      <w:r>
        <w:rPr>
          <w:sz w:val="24"/>
        </w:rPr>
        <w:t>This is the f</w:t>
      </w:r>
      <w:r>
        <w:rPr>
          <w:bCs/>
          <w:sz w:val="24"/>
        </w:rPr>
        <w:t>irst presentation</w:t>
      </w:r>
      <w:bookmarkEnd w:id="0"/>
      <w:r>
        <w:rPr>
          <w:bCs/>
          <w:sz w:val="24"/>
        </w:rPr>
        <w:t>.</w:t>
      </w:r>
      <w:bookmarkEnd w:id="1"/>
    </w:p>
    <w:p w14:paraId="6CCA5319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2CA5E86">
      <w:pPr>
        <w:tabs>
          <w:tab w:val="left" w:pos="3119"/>
        </w:tabs>
        <w:rPr>
          <w:color w:val="0000FF"/>
          <w:sz w:val="24"/>
          <w:lang w:val="en-US"/>
        </w:rPr>
      </w:pPr>
      <w:r>
        <w:rPr>
          <w:rFonts w:hint="eastAsia" w:eastAsia="宋体"/>
          <w:sz w:val="24"/>
          <w:lang w:val="en-US" w:eastAsia="zh-CN"/>
        </w:rPr>
        <w:t>None</w:t>
      </w:r>
      <w:r>
        <w:rPr>
          <w:rFonts w:hint="eastAsia" w:eastAsia="宋体"/>
          <w:color w:val="0000FF"/>
          <w:sz w:val="24"/>
          <w:lang w:val="en-US" w:eastAsia="zh-CN"/>
        </w:rPr>
        <w:t>.</w:t>
      </w:r>
    </w:p>
    <w:p w14:paraId="340DD740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183B332">
      <w:pPr>
        <w:tabs>
          <w:tab w:val="left" w:pos="3119"/>
        </w:tabs>
        <w:rPr>
          <w:rFonts w:eastAsia="宋体"/>
          <w:color w:val="0000FF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t>None</w:t>
      </w:r>
      <w:r>
        <w:rPr>
          <w:rFonts w:hint="eastAsia" w:eastAsia="宋体"/>
          <w:color w:val="0000FF"/>
          <w:sz w:val="24"/>
          <w:lang w:val="en-US" w:eastAsia="zh-CN"/>
        </w:rPr>
        <w:t>.</w:t>
      </w:r>
    </w:p>
    <w:p w14:paraId="3026FA56">
      <w:pPr>
        <w:tabs>
          <w:tab w:val="left" w:pos="3119"/>
        </w:tabs>
        <w:rPr>
          <w:b/>
          <w:sz w:val="24"/>
        </w:rPr>
      </w:pPr>
    </w:p>
    <w:p w14:paraId="59EC515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68415961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67A6A8E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18B5B886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revisionView w:markup="0"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QUAxuWEYSwAAAA="/>
    <w:docVar w:name="commondata" w:val="eyJoZGlkIjoiMTlkZmI2Y2FkMjQ4OWJhNTkwYWIyYmRiY2Q1YTMzNTcifQ=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1D50C9"/>
    <w:rsid w:val="00201520"/>
    <w:rsid w:val="00222D66"/>
    <w:rsid w:val="002A6CA6"/>
    <w:rsid w:val="002B09A1"/>
    <w:rsid w:val="002B220E"/>
    <w:rsid w:val="002D6A80"/>
    <w:rsid w:val="002E7F4D"/>
    <w:rsid w:val="00312805"/>
    <w:rsid w:val="003647FC"/>
    <w:rsid w:val="00366E2A"/>
    <w:rsid w:val="00367D74"/>
    <w:rsid w:val="003874F2"/>
    <w:rsid w:val="00397034"/>
    <w:rsid w:val="0041278D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A7EE5"/>
    <w:rsid w:val="00CB243C"/>
    <w:rsid w:val="00CC358C"/>
    <w:rsid w:val="00CF6DE2"/>
    <w:rsid w:val="00D142A8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ED2F68"/>
    <w:rsid w:val="00F20EB7"/>
    <w:rsid w:val="00F223E3"/>
    <w:rsid w:val="00F304D0"/>
    <w:rsid w:val="00FC4373"/>
    <w:rsid w:val="0C6F1664"/>
    <w:rsid w:val="189F022E"/>
    <w:rsid w:val="18C2411D"/>
    <w:rsid w:val="25502AC4"/>
    <w:rsid w:val="26DA6E52"/>
    <w:rsid w:val="29104EE9"/>
    <w:rsid w:val="2B8576F3"/>
    <w:rsid w:val="2E3470AE"/>
    <w:rsid w:val="46EB1D1F"/>
    <w:rsid w:val="4E1012D5"/>
    <w:rsid w:val="5DF012AB"/>
    <w:rsid w:val="5EAE61E6"/>
    <w:rsid w:val="60405D2E"/>
    <w:rsid w:val="60852569"/>
    <w:rsid w:val="66555272"/>
    <w:rsid w:val="6CE33832"/>
    <w:rsid w:val="6F7D3176"/>
    <w:rsid w:val="70290C54"/>
    <w:rsid w:val="75C96F90"/>
    <w:rsid w:val="7776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qFormat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qFormat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Bibliography1"/>
    <w:basedOn w:val="1"/>
    <w:next w:val="1"/>
    <w:semiHidden/>
    <w:unhideWhenUsed/>
    <w:qFormat/>
    <w:uiPriority w:val="37"/>
  </w:style>
  <w:style w:type="character" w:customStyle="1" w:styleId="131">
    <w:name w:val="Body Text Char"/>
    <w:link w:val="44"/>
    <w:qFormat/>
    <w:uiPriority w:val="0"/>
    <w:rPr>
      <w:lang w:eastAsia="ko-KR"/>
    </w:rPr>
  </w:style>
  <w:style w:type="character" w:customStyle="1" w:styleId="132">
    <w:name w:val="Body Text 2 Char"/>
    <w:link w:val="78"/>
    <w:qFormat/>
    <w:uiPriority w:val="0"/>
    <w:rPr>
      <w:lang w:eastAsia="ko-KR"/>
    </w:rPr>
  </w:style>
  <w:style w:type="character" w:customStyle="1" w:styleId="133">
    <w:name w:val="Body Text 3 Char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link w:val="87"/>
    <w:qFormat/>
    <w:uiPriority w:val="0"/>
    <w:rPr>
      <w:lang w:eastAsia="ko-KR"/>
    </w:rPr>
  </w:style>
  <w:style w:type="character" w:customStyle="1" w:styleId="135">
    <w:name w:val="Body Text Indent Char"/>
    <w:link w:val="45"/>
    <w:qFormat/>
    <w:uiPriority w:val="0"/>
    <w:rPr>
      <w:lang w:eastAsia="ko-KR"/>
    </w:rPr>
  </w:style>
  <w:style w:type="character" w:customStyle="1" w:styleId="136">
    <w:name w:val="Body Text First Indent 2 Char"/>
    <w:link w:val="88"/>
    <w:qFormat/>
    <w:uiPriority w:val="0"/>
    <w:rPr>
      <w:lang w:eastAsia="ko-KR"/>
    </w:rPr>
  </w:style>
  <w:style w:type="character" w:customStyle="1" w:styleId="137">
    <w:name w:val="Body Text Indent 2 Char"/>
    <w:link w:val="57"/>
    <w:qFormat/>
    <w:uiPriority w:val="0"/>
    <w:rPr>
      <w:lang w:eastAsia="ko-KR"/>
    </w:rPr>
  </w:style>
  <w:style w:type="character" w:customStyle="1" w:styleId="138">
    <w:name w:val="Body Text Indent 3 Char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Closing Char"/>
    <w:link w:val="43"/>
    <w:qFormat/>
    <w:uiPriority w:val="0"/>
    <w:rPr>
      <w:lang w:eastAsia="ko-KR"/>
    </w:rPr>
  </w:style>
  <w:style w:type="character" w:customStyle="1" w:styleId="140">
    <w:name w:val="Comment Subject Char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link w:val="56"/>
    <w:qFormat/>
    <w:uiPriority w:val="0"/>
    <w:rPr>
      <w:lang w:eastAsia="ko-KR"/>
    </w:rPr>
  </w:style>
  <w:style w:type="character" w:customStyle="1" w:styleId="142">
    <w:name w:val="Document Map Char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link w:val="32"/>
    <w:qFormat/>
    <w:uiPriority w:val="0"/>
    <w:rPr>
      <w:lang w:eastAsia="ko-KR"/>
    </w:rPr>
  </w:style>
  <w:style w:type="character" w:customStyle="1" w:styleId="144">
    <w:name w:val="Endnote Text Char"/>
    <w:link w:val="58"/>
    <w:qFormat/>
    <w:uiPriority w:val="0"/>
    <w:rPr>
      <w:lang w:eastAsia="ko-KR"/>
    </w:rPr>
  </w:style>
  <w:style w:type="character" w:customStyle="1" w:styleId="145">
    <w:name w:val="HTML Address Char"/>
    <w:link w:val="49"/>
    <w:qFormat/>
    <w:uiPriority w:val="0"/>
    <w:rPr>
      <w:i/>
      <w:iCs/>
      <w:lang w:eastAsia="ko-KR"/>
    </w:rPr>
  </w:style>
  <w:style w:type="character" w:customStyle="1" w:styleId="146">
    <w:name w:val="HTML Preformatted Char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Intense Quote Char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153">
    <w:name w:val="Note Heading Char"/>
    <w:link w:val="26"/>
    <w:qFormat/>
    <w:uiPriority w:val="0"/>
    <w:rPr>
      <w:lang w:eastAsia="ko-KR"/>
    </w:rPr>
  </w:style>
  <w:style w:type="character" w:customStyle="1" w:styleId="154">
    <w:name w:val="Plain Text Char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Quote Char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Salutation Char"/>
    <w:link w:val="41"/>
    <w:qFormat/>
    <w:uiPriority w:val="0"/>
    <w:rPr>
      <w:lang w:eastAsia="ko-KR"/>
    </w:rPr>
  </w:style>
  <w:style w:type="character" w:customStyle="1" w:styleId="158">
    <w:name w:val="Signature Char"/>
    <w:link w:val="64"/>
    <w:qFormat/>
    <w:uiPriority w:val="0"/>
    <w:rPr>
      <w:lang w:eastAsia="ko-KR"/>
    </w:rPr>
  </w:style>
  <w:style w:type="character" w:customStyle="1" w:styleId="159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213</Words>
  <Characters>1183</Characters>
  <Lines>6</Lines>
  <Paragraphs>1</Paragraphs>
  <TotalTime>25</TotalTime>
  <ScaleCrop>false</ScaleCrop>
  <LinksUpToDate>false</LinksUpToDate>
  <CharactersWithSpaces>1385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2024-08-28T03:38:00Z</dcterms:created>
  <dc:creator>Maurice Pope</dc:creator>
  <dc:description>Template for presentation of Specifications to TSGs and WGs</dc:description>
  <cp:lastModifiedBy>Song_2024-08-28</cp:lastModifiedBy>
  <dcterms:modified xsi:type="dcterms:W3CDTF">2024-08-29T01:39:21Z</dcterms:modified>
  <dc:title>Presentation to TSG / WG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2052-12.1.0.17827</vt:lpwstr>
  </property>
  <property fmtid="{D5CDD505-2E9C-101B-9397-08002B2CF9AE}" pid="4" name="ICV">
    <vt:lpwstr>3B79F0A32CFE425381936CF72C869BBB_13</vt:lpwstr>
  </property>
</Properties>
</file>